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661" w:rsidRDefault="00D720FC">
      <w:pPr>
        <w:spacing w:after="162" w:line="259" w:lineRule="auto"/>
        <w:ind w:left="298" w:right="0" w:firstLine="0"/>
        <w:jc w:val="left"/>
      </w:pPr>
      <w:bookmarkStart w:id="0" w:name="_GoBack"/>
      <w:bookmarkEnd w:id="0"/>
      <w:r>
        <w:rPr>
          <w:sz w:val="16"/>
        </w:rPr>
        <w:t xml:space="preserve"> </w:t>
      </w:r>
      <w:r>
        <w:t xml:space="preserve"> </w:t>
      </w:r>
    </w:p>
    <w:p w:rsidR="00584661" w:rsidRDefault="00D720FC">
      <w:pPr>
        <w:spacing w:after="182" w:line="259" w:lineRule="auto"/>
        <w:ind w:left="0" w:right="137" w:firstLine="0"/>
        <w:jc w:val="center"/>
      </w:pPr>
      <w:r>
        <w:rPr>
          <w:b/>
          <w:sz w:val="23"/>
        </w:rPr>
        <w:t xml:space="preserve"> </w:t>
      </w:r>
      <w:r>
        <w:rPr>
          <w:b/>
          <w:sz w:val="24"/>
        </w:rPr>
        <w:t xml:space="preserve">КОНЦЕНТРАТ МИНЕРАЛЬНЫЙ КОРМОВОЙ </w:t>
      </w:r>
      <w:r>
        <w:rPr>
          <w:b/>
          <w:sz w:val="32"/>
        </w:rPr>
        <w:t>«СиликаФид»</w:t>
      </w:r>
      <w:r>
        <w:rPr>
          <w:b/>
        </w:rPr>
        <w:t xml:space="preserve"> </w:t>
      </w:r>
      <w:r>
        <w:t xml:space="preserve"> </w:t>
      </w:r>
    </w:p>
    <w:p w:rsidR="00584661" w:rsidRDefault="00D720FC">
      <w:pPr>
        <w:pStyle w:val="Heading1"/>
      </w:pPr>
      <w:r>
        <w:t xml:space="preserve">для молодняка сельскохозяйственных животных  </w:t>
      </w:r>
    </w:p>
    <w:p w:rsidR="00584661" w:rsidRDefault="00D720FC">
      <w:pPr>
        <w:spacing w:after="187" w:line="259" w:lineRule="auto"/>
        <w:ind w:left="146" w:right="0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584661" w:rsidRDefault="00D720FC">
      <w:pPr>
        <w:spacing w:after="8"/>
        <w:ind w:left="-1" w:right="39" w:firstLine="992"/>
      </w:pPr>
      <w:r>
        <w:rPr>
          <w:b/>
        </w:rPr>
        <w:t>«СиликаФид</w:t>
      </w:r>
      <w:r>
        <w:t xml:space="preserve">» – </w:t>
      </w:r>
      <w:r>
        <w:t>это минеральный корм, изготовленный на основе смектитовых минералов, обладающая полифункциональными сорбционными и детоксикационными свойствами. Используется в качестве дополнительного кормового средства в рационах молодняка сельскохозяйственных животных с</w:t>
      </w:r>
      <w:r>
        <w:t xml:space="preserve"> первых дней жизни для профилактики диареи, кормового стресса. Нормализует процесс пищеварения, уменьшает признаки расстройства желудочно-кишечного тракта при стрессе, смене рациона, скармливании кормов ненадлежащего качества. Снижает рН содержимого ЖКТ, п</w:t>
      </w:r>
      <w:r>
        <w:t>репятствует размножению патогенной флоры. Способствует связыванию и нейтрализации токсинов, восполняет потерю электролитов и энергии. Стимулирует восстановление поврежденной стенки кишечника, является источником быстроусвояемых углеводов. Кроме того, проду</w:t>
      </w:r>
      <w:r>
        <w:t xml:space="preserve">кт обладает мощным адсорбирующим действием благодаря входящему в его состав монтмориллониту – природному минералу, хорошо себя зарекомендовавшему в качестве сорбента.  </w:t>
      </w:r>
    </w:p>
    <w:p w:rsidR="00584661" w:rsidRDefault="00D720FC">
      <w:pPr>
        <w:spacing w:after="80" w:line="259" w:lineRule="auto"/>
        <w:ind w:left="1006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584661" w:rsidRDefault="00D720FC">
      <w:pPr>
        <w:spacing w:after="65" w:line="259" w:lineRule="auto"/>
        <w:ind w:left="987" w:right="0"/>
        <w:jc w:val="left"/>
      </w:pPr>
      <w:r>
        <w:rPr>
          <w:b/>
        </w:rPr>
        <w:t xml:space="preserve">В состав концентрата входят: </w:t>
      </w:r>
      <w:r>
        <w:t xml:space="preserve"> </w:t>
      </w:r>
    </w:p>
    <w:p w:rsidR="00584661" w:rsidRDefault="00D720FC">
      <w:pPr>
        <w:pStyle w:val="Heading2"/>
        <w:tabs>
          <w:tab w:val="center" w:pos="1051"/>
          <w:tab w:val="right" w:pos="10998"/>
        </w:tabs>
        <w:ind w:right="0"/>
        <w:jc w:val="left"/>
      </w:pPr>
      <w:r>
        <w:rPr>
          <w:rFonts w:ascii="Calibri" w:eastAsia="Calibri" w:hAnsi="Calibri" w:cs="Calibri"/>
          <w:sz w:val="22"/>
          <w:u w:val="none"/>
        </w:rPr>
        <w:tab/>
      </w:r>
      <w:r>
        <w:rPr>
          <w:b/>
          <w:u w:val="none"/>
        </w:rPr>
        <w:t>-</w:t>
      </w:r>
      <w:r>
        <w:rPr>
          <w:rFonts w:ascii="Arial" w:eastAsia="Arial" w:hAnsi="Arial" w:cs="Arial"/>
          <w:b/>
          <w:u w:val="none"/>
        </w:rPr>
        <w:t xml:space="preserve"> </w:t>
      </w:r>
      <w:r>
        <w:rPr>
          <w:rFonts w:ascii="Arial" w:eastAsia="Arial" w:hAnsi="Arial" w:cs="Arial"/>
          <w:b/>
          <w:u w:val="none"/>
        </w:rPr>
        <w:tab/>
      </w:r>
      <w:r>
        <w:t>триоктаэдрический монтмориллонит (смектит: содерж</w:t>
      </w:r>
      <w:r>
        <w:t>ащие макроэлементы</w:t>
      </w:r>
      <w:r>
        <w:rPr>
          <w:u w:val="none"/>
        </w:rPr>
        <w:t xml:space="preserve"> </w:t>
      </w:r>
    </w:p>
    <w:p w:rsidR="00584661" w:rsidRDefault="00D720FC">
      <w:pPr>
        <w:spacing w:after="45" w:line="282" w:lineRule="auto"/>
        <w:ind w:left="9" w:right="0"/>
        <w:jc w:val="left"/>
      </w:pPr>
      <w:r>
        <w:rPr>
          <w:u w:val="single" w:color="000000"/>
        </w:rPr>
        <w:t>(г/кг):</w:t>
      </w:r>
      <w:r>
        <w:t xml:space="preserve"> </w:t>
      </w:r>
      <w:r>
        <w:rPr>
          <w:u w:val="single" w:color="000000"/>
        </w:rPr>
        <w:t>Са - 7,6; Na - 41; К - 17,9; Mg — 3,8 и микроэлементы (мг/кг): Mn - 142,2: Fe - 16,8; Zn -</w:t>
      </w:r>
      <w:r>
        <w:t xml:space="preserve"> </w:t>
      </w:r>
      <w:r>
        <w:rPr>
          <w:u w:val="single" w:color="000000"/>
        </w:rPr>
        <w:t>24,2;</w:t>
      </w:r>
      <w:r>
        <w:t xml:space="preserve"> </w:t>
      </w:r>
      <w:r>
        <w:rPr>
          <w:u w:val="single" w:color="000000"/>
        </w:rPr>
        <w:t>Cu - 13,5; Co - 7,1 ; Se - 0,7))</w:t>
      </w:r>
      <w:r>
        <w:t xml:space="preserve"> -</w:t>
      </w:r>
      <w:r>
        <w:rPr>
          <w:sz w:val="24"/>
        </w:rPr>
        <w:t xml:space="preserve"> </w:t>
      </w:r>
      <w:r>
        <w:t>несет в себе основное адсорбирующее действие, связывает и выводит различные вещества (в том числ</w:t>
      </w:r>
      <w:r>
        <w:t xml:space="preserve">е токсические) и газы из пищеварительного тракта, уменьшает признаки диареи;  </w:t>
      </w:r>
    </w:p>
    <w:p w:rsidR="00584661" w:rsidRDefault="00D720FC">
      <w:pPr>
        <w:numPr>
          <w:ilvl w:val="0"/>
          <w:numId w:val="1"/>
        </w:numPr>
        <w:ind w:right="39" w:firstLine="992"/>
      </w:pPr>
      <w:r>
        <w:rPr>
          <w:u w:val="single" w:color="000000"/>
        </w:rPr>
        <w:t xml:space="preserve">осадочные силикатные минералы </w:t>
      </w:r>
      <w:r>
        <w:rPr>
          <w:b/>
        </w:rPr>
        <w:t>-</w:t>
      </w:r>
      <w:r>
        <w:t xml:space="preserve"> обогащают рационы сельскохозяйственных животных микро и макроэлементами;  </w:t>
      </w:r>
    </w:p>
    <w:p w:rsidR="00584661" w:rsidRDefault="00D720FC">
      <w:pPr>
        <w:spacing w:after="37" w:line="283" w:lineRule="auto"/>
        <w:ind w:left="0" w:right="158" w:firstLine="992"/>
        <w:jc w:val="left"/>
      </w:pPr>
      <w:r>
        <w:rPr>
          <w:b/>
          <w:sz w:val="28"/>
        </w:rPr>
        <w:t>-</w:t>
      </w:r>
      <w:r>
        <w:rPr>
          <w:sz w:val="28"/>
          <w:u w:val="single" w:color="000000"/>
        </w:rPr>
        <w:t xml:space="preserve">хлорид  натрия  </w:t>
      </w:r>
      <w:r>
        <w:rPr>
          <w:sz w:val="28"/>
          <w:u w:val="single" w:color="000000"/>
        </w:rPr>
        <w:tab/>
        <w:t xml:space="preserve">(йодированная  </w:t>
      </w:r>
      <w:r>
        <w:rPr>
          <w:sz w:val="28"/>
          <w:u w:val="single" w:color="000000"/>
        </w:rPr>
        <w:tab/>
        <w:t>соль)</w:t>
      </w:r>
      <w:r>
        <w:rPr>
          <w:sz w:val="28"/>
        </w:rPr>
        <w:t xml:space="preserve">-  </w:t>
      </w:r>
      <w:r>
        <w:rPr>
          <w:sz w:val="28"/>
        </w:rPr>
        <w:tab/>
        <w:t xml:space="preserve">способствует  </w:t>
      </w:r>
      <w:r>
        <w:rPr>
          <w:sz w:val="28"/>
        </w:rPr>
        <w:t xml:space="preserve">восстановлению электролитного баланса в крови; </w:t>
      </w:r>
      <w:r>
        <w:t xml:space="preserve"> </w:t>
      </w:r>
    </w:p>
    <w:p w:rsidR="00584661" w:rsidRDefault="00D720FC">
      <w:pPr>
        <w:numPr>
          <w:ilvl w:val="0"/>
          <w:numId w:val="1"/>
        </w:numPr>
        <w:spacing w:after="26"/>
        <w:ind w:right="39" w:firstLine="992"/>
      </w:pPr>
      <w:r>
        <w:rPr>
          <w:u w:val="single" w:color="000000"/>
        </w:rPr>
        <w:t>декстроза(глюкоза)</w:t>
      </w:r>
      <w:r>
        <w:t>-</w:t>
      </w:r>
      <w:r>
        <w:rPr>
          <w:sz w:val="24"/>
        </w:rPr>
        <w:t xml:space="preserve"> </w:t>
      </w:r>
      <w:r>
        <w:t xml:space="preserve">является источником энергии, необходимой для нормального  </w:t>
      </w:r>
    </w:p>
    <w:p w:rsidR="00584661" w:rsidRDefault="00D720FC">
      <w:pPr>
        <w:ind w:left="9" w:right="39"/>
      </w:pPr>
      <w:r>
        <w:t xml:space="preserve">роста и развития, улучшает вкусовые свойства, что облегчает процесс скармливания (выпойки) животного;  </w:t>
      </w:r>
    </w:p>
    <w:p w:rsidR="00584661" w:rsidRDefault="00D720FC">
      <w:pPr>
        <w:numPr>
          <w:ilvl w:val="0"/>
          <w:numId w:val="1"/>
        </w:numPr>
        <w:spacing w:after="82" w:line="259" w:lineRule="auto"/>
        <w:ind w:right="39" w:firstLine="992"/>
      </w:pPr>
      <w:r>
        <w:rPr>
          <w:sz w:val="26"/>
          <w:shd w:val="clear" w:color="auto" w:fill="F9F9F9"/>
        </w:rPr>
        <w:t>цитрат натрия;</w:t>
      </w:r>
      <w:r>
        <w:t xml:space="preserve">  </w:t>
      </w:r>
    </w:p>
    <w:p w:rsidR="00584661" w:rsidRDefault="00D720FC">
      <w:pPr>
        <w:numPr>
          <w:ilvl w:val="0"/>
          <w:numId w:val="1"/>
        </w:numPr>
        <w:ind w:right="39" w:firstLine="992"/>
      </w:pPr>
      <w:r>
        <w:rPr>
          <w:u w:val="single" w:color="000000"/>
        </w:rPr>
        <w:t xml:space="preserve">подкислитель </w:t>
      </w:r>
      <w:r>
        <w:rPr>
          <w:u w:val="single" w:color="000000"/>
        </w:rPr>
        <w:tab/>
        <w:t xml:space="preserve">на </w:t>
      </w:r>
      <w:r>
        <w:rPr>
          <w:u w:val="single" w:color="000000"/>
        </w:rPr>
        <w:tab/>
        <w:t xml:space="preserve">основе </w:t>
      </w:r>
      <w:r>
        <w:rPr>
          <w:u w:val="single" w:color="000000"/>
        </w:rPr>
        <w:tab/>
        <w:t xml:space="preserve">органических </w:t>
      </w:r>
      <w:r>
        <w:rPr>
          <w:u w:val="single" w:color="000000"/>
        </w:rPr>
        <w:tab/>
        <w:t xml:space="preserve">кислот </w:t>
      </w:r>
      <w:r>
        <w:rPr>
          <w:u w:val="single" w:color="000000"/>
        </w:rPr>
        <w:tab/>
      </w:r>
      <w:r>
        <w:rPr>
          <w:b/>
        </w:rPr>
        <w:t xml:space="preserve">– </w:t>
      </w:r>
      <w:r>
        <w:rPr>
          <w:b/>
        </w:rPr>
        <w:tab/>
      </w:r>
      <w:r>
        <w:t xml:space="preserve">снижает </w:t>
      </w:r>
      <w:r>
        <w:tab/>
        <w:t>кислотность содержимого желудка, подавляет рост патогенной флоры, профилактирует заболевания ЖКТ,</w:t>
      </w:r>
      <w:r>
        <w:rPr>
          <w:b/>
        </w:rPr>
        <w:t xml:space="preserve"> </w:t>
      </w:r>
      <w:r>
        <w:t xml:space="preserve"> </w:t>
      </w:r>
    </w:p>
    <w:p w:rsidR="00584661" w:rsidRDefault="00D720FC">
      <w:pPr>
        <w:numPr>
          <w:ilvl w:val="0"/>
          <w:numId w:val="1"/>
        </w:numPr>
        <w:ind w:right="39" w:firstLine="992"/>
      </w:pPr>
      <w:r>
        <w:rPr>
          <w:u w:val="single" w:color="000000"/>
        </w:rPr>
        <w:t xml:space="preserve">оксид цинка </w:t>
      </w:r>
      <w:r>
        <w:rPr>
          <w:b/>
        </w:rPr>
        <w:t xml:space="preserve">- </w:t>
      </w:r>
      <w:r>
        <w:t>препятствует адгезии и развитию патогенной флоры в желудочнокишечном тракте, восст</w:t>
      </w:r>
      <w:r>
        <w:t xml:space="preserve">анавливает поврежденную слизистую кишечника, профилактирует развитие кератитов и дерматитов, повышает естественную резистентность организма;  </w:t>
      </w:r>
    </w:p>
    <w:p w:rsidR="00584661" w:rsidRDefault="00D720FC">
      <w:pPr>
        <w:numPr>
          <w:ilvl w:val="0"/>
          <w:numId w:val="1"/>
        </w:numPr>
        <w:spacing w:after="164" w:line="282" w:lineRule="auto"/>
        <w:ind w:right="39" w:firstLine="992"/>
      </w:pPr>
      <w:r>
        <w:rPr>
          <w:u w:val="single" w:color="000000"/>
        </w:rPr>
        <w:lastRenderedPageBreak/>
        <w:t xml:space="preserve">ароматизатор </w:t>
      </w:r>
      <w:r>
        <w:rPr>
          <w:u w:val="single" w:color="000000"/>
        </w:rPr>
        <w:tab/>
        <w:t>«Ванилин»</w:t>
      </w:r>
      <w:r>
        <w:rPr>
          <w:b/>
        </w:rPr>
        <w:t xml:space="preserve"> </w:t>
      </w:r>
      <w:r>
        <w:rPr>
          <w:b/>
        </w:rPr>
        <w:tab/>
        <w:t>-</w:t>
      </w:r>
      <w:r>
        <w:t xml:space="preserve"> </w:t>
      </w:r>
      <w:r>
        <w:tab/>
        <w:t xml:space="preserve">натуральный </w:t>
      </w:r>
      <w:r>
        <w:tab/>
        <w:t xml:space="preserve">ароматизатор, </w:t>
      </w:r>
      <w:r>
        <w:tab/>
        <w:t>улучшает органолептические качества продукта, что облегча</w:t>
      </w:r>
      <w:r>
        <w:t>ет процесс скармливания (выпойки) животных.</w:t>
      </w:r>
      <w:r>
        <w:rPr>
          <w:b/>
        </w:rPr>
        <w:t xml:space="preserve"> </w:t>
      </w:r>
      <w:r>
        <w:t xml:space="preserve"> </w:t>
      </w:r>
    </w:p>
    <w:p w:rsidR="00584661" w:rsidRDefault="00D720FC">
      <w:pPr>
        <w:spacing w:after="142"/>
        <w:ind w:left="-1" w:right="39" w:firstLine="992"/>
      </w:pPr>
      <w:r>
        <w:t xml:space="preserve">Биологические свойства кормового концентра </w:t>
      </w:r>
      <w:r>
        <w:rPr>
          <w:b/>
        </w:rPr>
        <w:t>«СиликаФид»</w:t>
      </w:r>
      <w:r>
        <w:t xml:space="preserve"> обеспечиваются высоким содержанием активного (доступного) кремния, который позволяет адсорбировать токсины эндогенного (бактериальные, вирусные, метаболиче</w:t>
      </w:r>
      <w:r>
        <w:t>ские) и экзогенного происхождения (микотоксины, тяжелые металлы) в ЖКТ. В результате использования корма снижается токсилогическая нагрузка на организм.</w:t>
      </w:r>
      <w:r>
        <w:rPr>
          <w:sz w:val="24"/>
        </w:rPr>
        <w:t xml:space="preserve"> </w:t>
      </w:r>
      <w:r>
        <w:t>Действие всех компонентов концентрата нормализует процессы пищеварения, что способствует сохранности по</w:t>
      </w:r>
      <w:r>
        <w:t xml:space="preserve">головья молодняка сельскохозяйственных животных, повышению естественной резистентности и увеличению продуктивности.  </w:t>
      </w:r>
    </w:p>
    <w:p w:rsidR="00584661" w:rsidRDefault="00D720FC">
      <w:pPr>
        <w:spacing w:after="183" w:line="259" w:lineRule="auto"/>
        <w:ind w:left="987" w:right="0"/>
        <w:jc w:val="left"/>
      </w:pPr>
      <w:r>
        <w:rPr>
          <w:b/>
        </w:rPr>
        <w:t xml:space="preserve">Дозировка (индивидуально): </w:t>
      </w:r>
      <w:r>
        <w:t xml:space="preserve"> </w:t>
      </w:r>
    </w:p>
    <w:p w:rsidR="00584661" w:rsidRDefault="00D720FC">
      <w:pPr>
        <w:numPr>
          <w:ilvl w:val="0"/>
          <w:numId w:val="1"/>
        </w:numPr>
        <w:spacing w:after="2"/>
        <w:ind w:right="39" w:firstLine="992"/>
      </w:pPr>
      <w:r>
        <w:t xml:space="preserve">телятам в возрасте до 75 дней скармливают 35-70 г/голову индивидуально, 1-2 </w:t>
      </w:r>
    </w:p>
    <w:p w:rsidR="00584661" w:rsidRDefault="00D720FC">
      <w:pPr>
        <w:ind w:left="9" w:right="39"/>
      </w:pPr>
      <w:r>
        <w:t>раза в день. Перед использование</w:t>
      </w:r>
      <w:r>
        <w:t xml:space="preserve">м порошок растворяют в 1 литре теплой воды, молоке или в ЗЦМ. Полученную суспензию необходимо выпоить за один прием. Молодняку в возрасте старше 75 дней концентрат можно задавать в смеси с кормом исходя из дозировки 50-150 г/голову;  </w:t>
      </w:r>
    </w:p>
    <w:p w:rsidR="00584661" w:rsidRDefault="00D720FC">
      <w:pPr>
        <w:numPr>
          <w:ilvl w:val="0"/>
          <w:numId w:val="1"/>
        </w:numPr>
        <w:ind w:right="39" w:firstLine="992"/>
      </w:pPr>
      <w:r>
        <w:t xml:space="preserve">поросятам скармливают 10-15 г/голову 1-2 раза в день. Перед использованием порошок растворяют в небольшом количестве (100-200мл) теплой воды, (СОМ) или посыпают по корму. Рекомендуется обрабатывать одновременно всех животных в гнезде </w:t>
      </w:r>
    </w:p>
    <w:p w:rsidR="00584661" w:rsidRDefault="00D720FC">
      <w:pPr>
        <w:ind w:left="9" w:right="39"/>
      </w:pPr>
      <w:r>
        <w:t xml:space="preserve">(станке).  </w:t>
      </w:r>
    </w:p>
    <w:p w:rsidR="00584661" w:rsidRDefault="00D720FC">
      <w:pPr>
        <w:ind w:left="9" w:right="39"/>
      </w:pPr>
      <w:r>
        <w:t>Полученну</w:t>
      </w:r>
      <w:r>
        <w:t xml:space="preserve">ю суспензию необходимо выпоить за один прием;  </w:t>
      </w:r>
    </w:p>
    <w:p w:rsidR="00584661" w:rsidRDefault="00D720FC">
      <w:pPr>
        <w:numPr>
          <w:ilvl w:val="0"/>
          <w:numId w:val="1"/>
        </w:numPr>
        <w:ind w:right="39" w:firstLine="992"/>
      </w:pPr>
      <w:r>
        <w:t xml:space="preserve">ягнятам, козлятам концентрат задают в количестве 10-20 г/голову;  </w:t>
      </w:r>
    </w:p>
    <w:p w:rsidR="00584661" w:rsidRDefault="00D720FC">
      <w:pPr>
        <w:numPr>
          <w:ilvl w:val="0"/>
          <w:numId w:val="1"/>
        </w:numPr>
        <w:spacing w:after="191"/>
        <w:ind w:right="39" w:firstLine="992"/>
      </w:pPr>
      <w:r>
        <w:t xml:space="preserve">животным других видов корм используют из расчета 1-1,5 г/голову;  </w:t>
      </w:r>
    </w:p>
    <w:p w:rsidR="00584661" w:rsidRDefault="00D720FC">
      <w:pPr>
        <w:spacing w:after="115" w:line="320" w:lineRule="auto"/>
        <w:ind w:left="9" w:right="39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«СиликаФид»  </w:t>
      </w:r>
      <w:r>
        <w:t xml:space="preserve">может  использоваться  при  производстве  комбикормов  </w:t>
      </w:r>
      <w:r>
        <w:tab/>
        <w:t xml:space="preserve">и  </w:t>
      </w:r>
      <w:r>
        <w:t xml:space="preserve">полнорационных смесей в дозировке 5-15 кг/т.  </w:t>
      </w:r>
    </w:p>
    <w:p w:rsidR="00584661" w:rsidRDefault="00D720FC">
      <w:pPr>
        <w:ind w:left="-1" w:right="39" w:firstLine="992"/>
      </w:pPr>
      <w:r>
        <w:rPr>
          <w:b/>
        </w:rPr>
        <w:t>«СиликаФид»</w:t>
      </w:r>
      <w:r>
        <w:t xml:space="preserve"> совместим со всеми ингредиентами кормов, лекарственными препаратами, а также с другими кормовыми добавками.  </w:t>
      </w:r>
    </w:p>
    <w:p w:rsidR="00584661" w:rsidRDefault="00D720FC">
      <w:pPr>
        <w:ind w:left="-1" w:right="39" w:firstLine="992"/>
      </w:pPr>
      <w:r>
        <w:t xml:space="preserve">Продукцию животноводства и птицеводства после применения </w:t>
      </w:r>
      <w:r>
        <w:rPr>
          <w:b/>
        </w:rPr>
        <w:t>«СиликаФид»</w:t>
      </w:r>
      <w:r>
        <w:t xml:space="preserve"> можно использовать</w:t>
      </w:r>
      <w:r>
        <w:t xml:space="preserve"> в пищевых целях без ограничений.  </w:t>
      </w:r>
    </w:p>
    <w:p w:rsidR="00584661" w:rsidRDefault="00D720FC">
      <w:pPr>
        <w:ind w:left="1016" w:right="39"/>
      </w:pPr>
      <w:r>
        <w:t xml:space="preserve">Выпускается в полимерных ведрах по 5кг.   </w:t>
      </w:r>
    </w:p>
    <w:p w:rsidR="00584661" w:rsidRDefault="00D720FC">
      <w:pPr>
        <w:ind w:left="1016" w:right="39"/>
      </w:pPr>
      <w:r>
        <w:t xml:space="preserve">Хранят в упаковке производителя 2 года с даты изготовления, в сухом прохладном  </w:t>
      </w:r>
    </w:p>
    <w:p w:rsidR="00584661" w:rsidRDefault="00D720FC">
      <w:pPr>
        <w:spacing w:after="132"/>
        <w:ind w:left="9" w:right="39"/>
      </w:pPr>
      <w:r>
        <w:t xml:space="preserve">месте не доступном для детей.  </w:t>
      </w:r>
    </w:p>
    <w:p w:rsidR="00584661" w:rsidRDefault="00D720FC">
      <w:pPr>
        <w:ind w:left="1016" w:right="39"/>
      </w:pPr>
      <w:r>
        <w:t>При работе с кормовым концентратом «СиликаФид» следует соблюдать</w:t>
      </w:r>
      <w:r>
        <w:t xml:space="preserve"> общие  </w:t>
      </w:r>
    </w:p>
    <w:p w:rsidR="00584661" w:rsidRDefault="00D720FC">
      <w:pPr>
        <w:ind w:left="9" w:right="39"/>
      </w:pPr>
      <w:r>
        <w:t xml:space="preserve">правила личной гигиены и техники безопасности, предусмотренные при работе с кормами.  </w:t>
      </w:r>
    </w:p>
    <w:p w:rsidR="00584661" w:rsidRDefault="00D720FC">
      <w:pPr>
        <w:spacing w:after="88" w:line="259" w:lineRule="auto"/>
        <w:ind w:left="14" w:right="0" w:firstLine="0"/>
        <w:jc w:val="left"/>
      </w:pPr>
      <w:r>
        <w:t xml:space="preserve">  </w:t>
      </w:r>
    </w:p>
    <w:p w:rsidR="00584661" w:rsidRDefault="00D720FC">
      <w:pPr>
        <w:spacing w:after="47" w:line="259" w:lineRule="auto"/>
        <w:ind w:left="14" w:right="0" w:firstLine="0"/>
        <w:jc w:val="left"/>
      </w:pPr>
      <w:r>
        <w:t xml:space="preserve">  </w:t>
      </w:r>
    </w:p>
    <w:p w:rsidR="00584661" w:rsidRDefault="00D720FC">
      <w:pPr>
        <w:spacing w:after="150"/>
        <w:ind w:left="308" w:right="39"/>
      </w:pPr>
      <w:r>
        <w:rPr>
          <w:b/>
          <w:sz w:val="10"/>
        </w:rPr>
        <w:t xml:space="preserve"> </w:t>
      </w:r>
      <w:r>
        <w:t xml:space="preserve">ООО «ИнноВет» 143960 г. Реутов ул. Фабричная д 8 </w:t>
      </w:r>
    </w:p>
    <w:p w:rsidR="00584661" w:rsidRDefault="00D720FC">
      <w:pPr>
        <w:spacing w:after="148" w:line="259" w:lineRule="auto"/>
        <w:ind w:left="298" w:right="0" w:firstLine="0"/>
        <w:jc w:val="left"/>
      </w:pPr>
      <w:r>
        <w:t xml:space="preserve">E-mail: </w:t>
      </w:r>
      <w:r>
        <w:rPr>
          <w:color w:val="0563C1"/>
          <w:u w:val="single" w:color="0563C1"/>
        </w:rPr>
        <w:t>office@innovet.ru</w:t>
      </w:r>
      <w:r>
        <w:t xml:space="preserve">  </w:t>
      </w:r>
      <w:hyperlink r:id="rId5">
        <w:r>
          <w:rPr>
            <w:color w:val="0563C1"/>
            <w:u w:val="single" w:color="0563C1"/>
          </w:rPr>
          <w:t>https://инновет</w:t>
        </w:r>
      </w:hyperlink>
      <w:hyperlink r:id="rId6">
        <w:r>
          <w:rPr>
            <w:color w:val="0563C1"/>
            <w:u w:val="single" w:color="0563C1"/>
          </w:rPr>
          <w:t>.</w:t>
        </w:r>
      </w:hyperlink>
      <w:hyperlink r:id="rId7">
        <w:r>
          <w:rPr>
            <w:color w:val="0563C1"/>
            <w:u w:val="single" w:color="0563C1"/>
          </w:rPr>
          <w:t>рф</w:t>
        </w:r>
      </w:hyperlink>
      <w:hyperlink r:id="rId8">
        <w:r>
          <w:t xml:space="preserve"> </w:t>
        </w:r>
      </w:hyperlink>
    </w:p>
    <w:p w:rsidR="00584661" w:rsidRDefault="00D720FC">
      <w:pPr>
        <w:spacing w:after="123" w:line="259" w:lineRule="auto"/>
        <w:ind w:left="298" w:right="0" w:firstLine="0"/>
        <w:jc w:val="left"/>
      </w:pPr>
      <w:r>
        <w:t xml:space="preserve"> </w:t>
      </w:r>
    </w:p>
    <w:p w:rsidR="00584661" w:rsidRDefault="00D720FC">
      <w:pPr>
        <w:spacing w:after="0" w:line="259" w:lineRule="auto"/>
        <w:ind w:left="298" w:right="0" w:firstLine="0"/>
        <w:jc w:val="left"/>
      </w:pPr>
      <w:r>
        <w:rPr>
          <w:sz w:val="28"/>
        </w:rPr>
        <w:t xml:space="preserve">   </w:t>
      </w:r>
      <w:r>
        <w:rPr>
          <w:sz w:val="28"/>
        </w:rPr>
        <w:tab/>
        <w:t xml:space="preserve"> </w:t>
      </w:r>
      <w:r>
        <w:t xml:space="preserve"> </w:t>
      </w:r>
    </w:p>
    <w:sectPr w:rsidR="00584661">
      <w:pgSz w:w="11906" w:h="16838"/>
      <w:pgMar w:top="477" w:right="354" w:bottom="885" w:left="55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75FC4"/>
    <w:multiLevelType w:val="hybridMultilevel"/>
    <w:tmpl w:val="6A466D66"/>
    <w:lvl w:ilvl="0" w:tplc="662E59E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0EA641F0">
      <w:start w:val="1"/>
      <w:numFmt w:val="bullet"/>
      <w:lvlText w:val="o"/>
      <w:lvlJc w:val="left"/>
      <w:pPr>
        <w:ind w:left="20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F5544E3A">
      <w:start w:val="1"/>
      <w:numFmt w:val="bullet"/>
      <w:lvlText w:val="▪"/>
      <w:lvlJc w:val="left"/>
      <w:pPr>
        <w:ind w:left="28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9A1C98A0">
      <w:start w:val="1"/>
      <w:numFmt w:val="bullet"/>
      <w:lvlText w:val="•"/>
      <w:lvlJc w:val="left"/>
      <w:pPr>
        <w:ind w:left="35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C9A43860">
      <w:start w:val="1"/>
      <w:numFmt w:val="bullet"/>
      <w:lvlText w:val="o"/>
      <w:lvlJc w:val="left"/>
      <w:pPr>
        <w:ind w:left="42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417EE97E">
      <w:start w:val="1"/>
      <w:numFmt w:val="bullet"/>
      <w:lvlText w:val="▪"/>
      <w:lvlJc w:val="left"/>
      <w:pPr>
        <w:ind w:left="49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2240446A">
      <w:start w:val="1"/>
      <w:numFmt w:val="bullet"/>
      <w:lvlText w:val="•"/>
      <w:lvlJc w:val="left"/>
      <w:pPr>
        <w:ind w:left="56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28362A14">
      <w:start w:val="1"/>
      <w:numFmt w:val="bullet"/>
      <w:lvlText w:val="o"/>
      <w:lvlJc w:val="left"/>
      <w:pPr>
        <w:ind w:left="64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8E0009F4">
      <w:start w:val="1"/>
      <w:numFmt w:val="bullet"/>
      <w:lvlText w:val="▪"/>
      <w:lvlJc w:val="left"/>
      <w:pPr>
        <w:ind w:left="71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661"/>
    <w:rsid w:val="00584661"/>
    <w:rsid w:val="00D7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748FBD8A-26ED-4376-BB48-0CDAC479E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9" w:line="269" w:lineRule="auto"/>
      <w:ind w:left="10" w:right="50" w:hanging="10"/>
      <w:jc w:val="both"/>
    </w:pPr>
    <w:rPr>
      <w:rFonts w:ascii="Times New Roman" w:eastAsia="Times New Roman" w:hAnsi="Times New Roman" w:cs="Times New Roman"/>
      <w:color w:val="000000"/>
      <w:sz w:val="27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88"/>
      <w:ind w:right="64"/>
      <w:jc w:val="center"/>
      <w:outlineLvl w:val="0"/>
    </w:pPr>
    <w:rPr>
      <w:rFonts w:ascii="Times New Roman" w:eastAsia="Times New Roman" w:hAnsi="Times New Roman" w:cs="Times New Roman"/>
      <w:b/>
      <w:color w:val="000000"/>
      <w:sz w:val="27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8"/>
      <w:ind w:right="56"/>
      <w:jc w:val="right"/>
      <w:outlineLvl w:val="1"/>
    </w:pPr>
    <w:rPr>
      <w:rFonts w:ascii="Times New Roman" w:eastAsia="Times New Roman" w:hAnsi="Times New Roman" w:cs="Times New Roman"/>
      <w:color w:val="000000"/>
      <w:sz w:val="27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7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7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0;&#1085;&#1085;&#1086;&#1074;&#1077;&#1090;.&#1088;&#1092;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&#1080;&#1085;&#1085;&#1086;&#1074;&#1077;&#1090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0;&#1085;&#1085;&#1086;&#1074;&#1077;&#1090;.&#1088;&#1092;/" TargetMode="External"/><Relationship Id="rId5" Type="http://schemas.openxmlformats.org/officeDocument/2006/relationships/hyperlink" Target="https://&#1080;&#1085;&#1085;&#1086;&#1074;&#1077;&#1090;.&#1088;&#1092;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4075</Characters>
  <Application>Microsoft Office Word</Application>
  <DocSecurity>4</DocSecurity>
  <Lines>33</Lines>
  <Paragraphs>9</Paragraphs>
  <ScaleCrop>false</ScaleCrop>
  <Company/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</dc:creator>
  <cp:keywords/>
  <cp:lastModifiedBy>word</cp:lastModifiedBy>
  <cp:revision>2</cp:revision>
  <dcterms:created xsi:type="dcterms:W3CDTF">2023-11-17T17:53:00Z</dcterms:created>
  <dcterms:modified xsi:type="dcterms:W3CDTF">2023-11-17T17:53:00Z</dcterms:modified>
</cp:coreProperties>
</file>