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75" w:rsidRDefault="008305BB">
      <w:pPr>
        <w:spacing w:after="33" w:line="259" w:lineRule="auto"/>
        <w:ind w:firstLine="0"/>
        <w:jc w:val="center"/>
      </w:pPr>
      <w:bookmarkStart w:id="0" w:name="_GoBack"/>
      <w:bookmarkEnd w:id="0"/>
      <w:r>
        <w:t>ОДОБРЕНО</w:t>
      </w:r>
    </w:p>
    <w:p w:rsidR="007B7275" w:rsidRDefault="008305BB">
      <w:pPr>
        <w:spacing w:after="259"/>
        <w:ind w:left="4906" w:right="82" w:firstLine="10"/>
      </w:pPr>
      <w:r>
        <w:t>Совет по ветеринарным препаратам протокол от «24» февраля 2021 г. № 113.</w:t>
      </w:r>
    </w:p>
    <w:p w:rsidR="007B7275" w:rsidRDefault="008305BB">
      <w:pPr>
        <w:spacing w:after="184" w:line="259" w:lineRule="auto"/>
        <w:ind w:left="2203" w:right="1526" w:hanging="10"/>
        <w:jc w:val="center"/>
      </w:pPr>
      <w:r>
        <w:rPr>
          <w:sz w:val="26"/>
        </w:rPr>
        <w:t>ИНСТРУКЦИЯ по применению ветеринарного препарата «Микозин»</w:t>
      </w:r>
    </w:p>
    <w:p w:rsidR="007B7275" w:rsidRDefault="008305BB">
      <w:pPr>
        <w:pStyle w:val="Heading1"/>
        <w:ind w:left="2203" w:right="1516"/>
      </w:pPr>
      <w:r>
        <w:t>1 ОБЩИЕ СВЕДЕНИЯ</w:t>
      </w:r>
    </w:p>
    <w:p w:rsidR="007B7275" w:rsidRDefault="008305BB">
      <w:pPr>
        <w:spacing w:after="55"/>
        <w:ind w:left="826" w:right="9" w:firstLine="0"/>
      </w:pPr>
      <w:r>
        <w:t>1.1 Микозин (Micosinum).</w:t>
      </w:r>
    </w:p>
    <w:p w:rsidR="007B7275" w:rsidRDefault="008305BB">
      <w:pPr>
        <w:ind w:left="62" w:right="9"/>
      </w:pPr>
      <w:r>
        <w:t>Международное непатентованное наименование активной фармацевтической субстанции: тилмикозин.</w:t>
      </w:r>
    </w:p>
    <w:p w:rsidR="007B7275" w:rsidRDefault="008305BB">
      <w:pPr>
        <w:ind w:left="62" w:right="9"/>
      </w:pPr>
      <w:r>
        <w:t>1.2 Микозин представляет собой прозрачную жидкость от светло-желтого до темножелтого цвета.</w:t>
      </w:r>
    </w:p>
    <w:p w:rsidR="007B7275" w:rsidRDefault="008305BB">
      <w:pPr>
        <w:spacing w:after="20"/>
        <w:ind w:left="62" w:right="9"/>
      </w:pPr>
      <w:r>
        <w:t>В 1,0 мл препарата содержится 300 мг тилмикозина, вспомогательные вещес</w:t>
      </w:r>
      <w:r>
        <w:t>тва: 1,2пропиленгликоль, вода для инъекций.</w:t>
      </w:r>
    </w:p>
    <w:p w:rsidR="007B7275" w:rsidRDefault="008305BB">
      <w:pPr>
        <w:spacing w:after="48"/>
        <w:ind w:left="787" w:right="9" w:firstLine="0"/>
      </w:pPr>
      <w:r>
        <w:t>Лекарственная форма: раствор для инъекций.</w:t>
      </w:r>
    </w:p>
    <w:p w:rsidR="007B7275" w:rsidRDefault="008305BB">
      <w:pPr>
        <w:numPr>
          <w:ilvl w:val="0"/>
          <w:numId w:val="1"/>
        </w:numPr>
        <w:ind w:right="9" w:firstLine="65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94488</wp:posOffset>
            </wp:positionH>
            <wp:positionV relativeFrom="paragraph">
              <wp:posOffset>128365</wp:posOffset>
            </wp:positionV>
            <wp:extent cx="3048" cy="3049"/>
            <wp:effectExtent l="0" t="0" r="0" b="0"/>
            <wp:wrapSquare wrapText="bothSides"/>
            <wp:docPr id="1997" name="Picture 1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" name="Picture 19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 Препарат выпускают в стеклянных флаконах по 50, 100, 200 мл и в полимерных флаконах по 100 мл.</w:t>
      </w:r>
    </w:p>
    <w:p w:rsidR="007B7275" w:rsidRDefault="008305BB">
      <w:pPr>
        <w:numPr>
          <w:ilvl w:val="1"/>
          <w:numId w:val="1"/>
        </w:numPr>
        <w:spacing w:after="44"/>
        <w:ind w:right="89"/>
      </w:pPr>
      <w:r>
        <w:t xml:space="preserve">Микозин хранят по списку Б при температуре от плюс 5 </w:t>
      </w:r>
      <w:r>
        <w:rPr>
          <w:vertAlign w:val="superscript"/>
        </w:rPr>
        <w:t>о</w:t>
      </w:r>
      <w:r>
        <w:t xml:space="preserve">с до плюс 25 </w:t>
      </w:r>
      <w:r>
        <w:rPr>
          <w:vertAlign w:val="superscript"/>
        </w:rPr>
        <w:t xml:space="preserve">о </w:t>
      </w:r>
      <w:r>
        <w:t xml:space="preserve">с </w:t>
      </w:r>
      <w:r>
        <w:t>в заЩИПРННОМ от света месте.</w:t>
      </w:r>
    </w:p>
    <w:p w:rsidR="007B7275" w:rsidRDefault="008305BB">
      <w:pPr>
        <w:numPr>
          <w:ilvl w:val="1"/>
          <w:numId w:val="1"/>
        </w:numPr>
        <w:spacing w:after="265"/>
        <w:ind w:right="89"/>
      </w:pPr>
      <w:r>
        <w:t>Срок годности — 2 (два) года от даты изготовления при соблюдении условий хранения. После вскрытия флакона препарат необходимо хранить при температуре от плюс 2</w:t>
      </w:r>
      <w:r>
        <w:rPr>
          <w:vertAlign w:val="superscript"/>
        </w:rPr>
        <w:t>0</w:t>
      </w:r>
      <w:r>
        <w:t xml:space="preserve">С до плюс 8 </w:t>
      </w:r>
      <w:r>
        <w:rPr>
          <w:vertAlign w:val="superscript"/>
        </w:rPr>
        <w:t xml:space="preserve">0 </w:t>
      </w:r>
      <w:r>
        <w:t>С, использовать в течение 30 дней. Не применять по ис</w:t>
      </w:r>
      <w:r>
        <w:t>течению срока годности. Хранить в местах, недоступных для детей.</w:t>
      </w:r>
    </w:p>
    <w:p w:rsidR="007B7275" w:rsidRDefault="008305BB">
      <w:pPr>
        <w:pStyle w:val="Heading1"/>
        <w:ind w:left="2203" w:right="1579"/>
      </w:pPr>
      <w:r>
        <w:t>2 ФАРМАКОЛОГИЧЕСКИЕ СВОЙСТВА</w:t>
      </w:r>
    </w:p>
    <w:p w:rsidR="007B7275" w:rsidRDefault="008305BB">
      <w:pPr>
        <w:spacing w:after="47"/>
        <w:ind w:left="62" w:right="9"/>
      </w:pPr>
      <w:r>
        <w:t>2.1 Тилмикозин — полусинтетический антибиотик из группы макролидов, обладающий широким спектром противомикробного действия.</w:t>
      </w:r>
    </w:p>
    <w:p w:rsidR="007B7275" w:rsidRDefault="008305BB">
      <w:pPr>
        <w:ind w:left="62" w:right="182"/>
      </w:pPr>
      <w:r>
        <w:t>Тилмикозин активен в отношении грамположительных (Streptococcus spp., StaphyloСОССи spp., Corynebacterium spp. и др.) и грамотрицательных микроорганизмов (Pasteurella multocida, Clostridium spp. и др.), актиномицет (Actinobacillus pleuropneumoniae) и микоп</w:t>
      </w:r>
      <w:r>
        <w:t>лазм.</w:t>
      </w:r>
    </w:p>
    <w:p w:rsidR="007B7275" w:rsidRDefault="008305BB">
      <w:pPr>
        <w:ind w:left="62" w:right="9"/>
      </w:pPr>
      <w:r>
        <w:t>2.2 Механизм противомикробного действия тилмикозина основан на нарушении синтеза белка на уровне рибосом. Препарат действует бактериостатически.</w:t>
      </w:r>
    </w:p>
    <w:p w:rsidR="007B7275" w:rsidRDefault="008305BB">
      <w:pPr>
        <w:spacing w:after="48"/>
        <w:ind w:left="62" w:right="197"/>
      </w:pPr>
      <w:r>
        <w:t>2.3 В крови максимальный уровень достигается через 1 час после однократного подкожного введения и сохраня</w:t>
      </w:r>
      <w:r>
        <w:t>ется в течение 72 часов. Наиболее высокая концентрация препарата создается в легочной ткани.</w:t>
      </w:r>
    </w:p>
    <w:p w:rsidR="007B7275" w:rsidRDefault="008305BB">
      <w:pPr>
        <w:spacing w:after="280"/>
        <w:ind w:left="749" w:right="9" w:firstLine="0"/>
      </w:pPr>
      <w:r>
        <w:t>2.4 Выделяется тилмикозин из организма преимущественно с мочой.</w:t>
      </w:r>
    </w:p>
    <w:p w:rsidR="007B7275" w:rsidRDefault="008305BB">
      <w:pPr>
        <w:pStyle w:val="Heading1"/>
        <w:ind w:left="2203" w:right="1646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998" name="Picture 1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" name="Picture 19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 ПОРЯДОК ПРИМЕНЕНИЯ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999" name="Picture 1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" name="Picture 19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275" w:rsidRDefault="008305BB">
      <w:pPr>
        <w:ind w:left="62" w:right="206"/>
      </w:pPr>
      <w:r>
        <w:t>3.1 Микозин применяют крупному рогатому скоту при респираторных заболеваниях</w:t>
      </w:r>
      <w:r>
        <w:t>, пастереллезе, микоплазмозе, стрептококкозе, некробактериозе и других заболева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2000" name="Picture 2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" name="Picture 20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ниях, вызванных микроорганизмами, чувствительньши к тилмикозину.</w:t>
      </w:r>
    </w:p>
    <w:p w:rsidR="007B7275" w:rsidRDefault="008305BB">
      <w:pPr>
        <w:ind w:left="62" w:right="206"/>
      </w:pPr>
      <w:r>
        <w:t>З .2 Микозин вводят крупному рогатому скоту в дозе 1 мл на 30 кг массы тела живот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2001" name="Picture 2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" name="Picture 20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ного, подкожно, однократно; п</w:t>
      </w:r>
      <w:r>
        <w:t>ри некробактериозе — 0,5 мл на 30 кг массы тела животного, подкожно, однократно.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002" name="Picture 2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" name="Picture 20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275" w:rsidRDefault="008305BB">
      <w:pPr>
        <w:ind w:left="725" w:right="9" w:firstLine="0"/>
      </w:pPr>
      <w:r>
        <w:t>В одно место рекомендуется вводить не более 15 мл препарата.</w:t>
      </w:r>
    </w:p>
    <w:p w:rsidR="007B7275" w:rsidRDefault="008305BB">
      <w:pPr>
        <w:ind w:left="0" w:right="221"/>
      </w:pPr>
      <w:r>
        <w:lastRenderedPageBreak/>
        <w:t>3.3 При применении препарата в соответствии с настоящей инструкцией побочных явлений и осложнений у животных, как</w:t>
      </w:r>
      <w:r>
        <w:t xml:space="preserve"> правило, не наблюдается. В редких случаях на месте введения возможно образование припухлости, исчезающей самостоятельно в течение З5 дней.</w:t>
      </w:r>
    </w:p>
    <w:p w:rsidR="007B7275" w:rsidRDefault="008305BB">
      <w:pPr>
        <w:ind w:left="62" w:right="9"/>
      </w:pPr>
      <w:r>
        <w:t>При наличии аллергической реакции применение препарата прекращают, назначают симптоматическое лечение (антигистаминн</w:t>
      </w:r>
      <w:r>
        <w:t>ые препараты).</w:t>
      </w:r>
    </w:p>
    <w:p w:rsidR="007B7275" w:rsidRDefault="008305BB">
      <w:pPr>
        <w:spacing w:after="22"/>
        <w:ind w:left="216" w:right="9"/>
      </w:pPr>
      <w:r>
        <w:t>3.4 Не рекомендуется одновременное применение с препаратами из групп пенициллинов и цефалоспоринов, с аминогликозидами, антагонистами адреналина, Р-адренергическими антагонистами. Противопоказанием к применению препарата является индивидуаль</w:t>
      </w:r>
      <w:r>
        <w:t>ная чувствительность животных к тилмикозину.</w:t>
      </w:r>
    </w:p>
    <w:p w:rsidR="007B7275" w:rsidRDefault="008305BB">
      <w:pPr>
        <w:spacing w:after="36"/>
        <w:ind w:left="216" w:right="9"/>
      </w:pPr>
      <w:r>
        <w:t>3.5 Запрещается применение препарата другим видам животных, лактирующим коровам, коровам в течение 60 дней до родов. Препарат применяют с осторожностью во время беременности.</w:t>
      </w:r>
    </w:p>
    <w:p w:rsidR="007B7275" w:rsidRDefault="008305BB">
      <w:pPr>
        <w:spacing w:after="251"/>
        <w:ind w:left="216" w:right="9"/>
      </w:pPr>
      <w:r>
        <w:t>3.6 Убой животных на мясо разрешается через 60 суток после последнего введения препарата. В случае вынужденного убоя ранее этого срока, мясо может быть использовано на корм плотоядным животным.</w:t>
      </w:r>
    </w:p>
    <w:p w:rsidR="007B7275" w:rsidRDefault="008305BB">
      <w:pPr>
        <w:pStyle w:val="Heading1"/>
        <w:ind w:left="2203" w:right="1300"/>
      </w:pPr>
      <w:r>
        <w:t>4 МЕРЫ ПРОФИЛАКТИКИ</w:t>
      </w:r>
    </w:p>
    <w:p w:rsidR="007B7275" w:rsidRDefault="008305BB">
      <w:pPr>
        <w:spacing w:after="290"/>
        <w:ind w:left="221" w:right="9"/>
      </w:pPr>
      <w:r>
        <w:t>4.1 При работе с препаратом следует соблюд</w:t>
      </w:r>
      <w:r>
        <w:t>ать правила личной гигиены и техники безопасности.</w:t>
      </w:r>
    </w:p>
    <w:p w:rsidR="007B7275" w:rsidRDefault="008305BB">
      <w:pPr>
        <w:pStyle w:val="Heading1"/>
        <w:spacing w:after="0"/>
        <w:ind w:left="2573" w:right="0"/>
        <w:jc w:val="left"/>
      </w:pPr>
      <w:r>
        <w:t>5 ПОРЯДОК ПРЕДЪЯВЛЕНИЯ РЕКЛАМАЦИЙ</w:t>
      </w:r>
    </w:p>
    <w:p w:rsidR="007B7275" w:rsidRDefault="008305BB">
      <w:pPr>
        <w:spacing w:after="279"/>
        <w:ind w:left="216" w:right="9"/>
      </w:pPr>
      <w:r>
        <w:t>5.1 В случае возникновения осложнений после применения препарата, его использование прекращают и потребитель обращается в Государственное ветеринарное учреждение, на терри</w:t>
      </w:r>
      <w:r>
        <w:t>тории которого он находится. Ветеринарными специалистами этого учреждения производится изучение соблюдения всех правил по применению препарата в соответствии с инструкцией. При подтверждении выявления отрицательного воздействия препарата на организм животн</w:t>
      </w:r>
      <w:r>
        <w:t>ого или несоответствии препарата по внешнему виду, ветеринарными специалистами отбираются пробы в необходимом количестве для проведения лабораторных испытаний, составляется акт отбора проб и направляется в Государственное учреждение «Белорусский государств</w:t>
      </w:r>
      <w:r>
        <w:t>енный ветеринарный центр» (220005, г. Минск, ул. Красная, 19А) для подтверждения соответствия препарата нормативной документации.</w:t>
      </w:r>
    </w:p>
    <w:p w:rsidR="007B7275" w:rsidRDefault="008305BB">
      <w:pPr>
        <w:pStyle w:val="Heading1"/>
        <w:spacing w:after="0"/>
        <w:ind w:left="2376" w:right="0"/>
        <w:jc w:val="left"/>
      </w:pPr>
      <w:r>
        <w:t>6 ПОЛНОЕ НАИМЕНОВАНИЕ ПРОИЗВОДИТЕЛЯ</w:t>
      </w:r>
    </w:p>
    <w:p w:rsidR="007B7275" w:rsidRDefault="008305BB">
      <w:pPr>
        <w:spacing w:after="258"/>
        <w:ind w:left="226" w:right="9" w:firstLine="571"/>
      </w:pPr>
      <w:r>
        <w:t xml:space="preserve">6.1 Общество с ограниченной ответственностью «Промветсервис» (юридический адрес): 220034, </w:t>
      </w:r>
      <w:r>
        <w:t>Республика Беларусь, г. Минск, ул. З. БяДули, 12/2а, тел./факс: +375 17 503 53</w:t>
      </w:r>
    </w:p>
    <w:p w:rsidR="007B7275" w:rsidRDefault="008305BB">
      <w:pPr>
        <w:spacing w:after="279"/>
        <w:ind w:left="230" w:right="9" w:firstLine="571"/>
      </w:pPr>
      <w:r>
        <w:t xml:space="preserve">Производитель: Филиал «Промветсервис-Альба», 222603, Республика Беларусь, Минская область, Несвижский район, пос. Альба, ул. ЗавоДская </w:t>
      </w:r>
      <w:r>
        <w:rPr>
          <w:vertAlign w:val="superscript"/>
        </w:rPr>
        <w:t>1</w:t>
      </w:r>
      <w:r>
        <w:t>/2, тел./факс:+З75 1770 27081.</w:t>
      </w:r>
    </w:p>
    <w:p w:rsidR="007B7275" w:rsidRDefault="008305BB">
      <w:pPr>
        <w:spacing w:after="10"/>
        <w:ind w:left="240" w:right="9"/>
      </w:pPr>
      <w:r>
        <w:t>Инструкция подготовлена сотрудниками кафедры фармакологии и токсикологии (Ятусевич И.А., Смаглей Т.Н.), паразитологии (Захарченко И.П.), внутренних незаразных болезней животных (Иванов В.Н.) УО «Витебская ордена «Знак Почета» государственная академия ветер</w:t>
      </w:r>
      <w:r>
        <w:t>инарной медицины» и ООО «Промветсервис» (Дмитриева А.А., Степанюга М.А.)</w:t>
      </w:r>
    </w:p>
    <w:tbl>
      <w:tblPr>
        <w:tblStyle w:val="TableGrid"/>
        <w:tblW w:w="4090" w:type="dxa"/>
        <w:tblInd w:w="4966" w:type="dxa"/>
        <w:tblCellMar>
          <w:top w:w="81" w:type="dxa"/>
          <w:left w:w="136" w:type="dxa"/>
          <w:bottom w:w="0" w:type="dxa"/>
          <w:right w:w="128" w:type="dxa"/>
        </w:tblCellMar>
        <w:tblLook w:val="04A0" w:firstRow="1" w:lastRow="0" w:firstColumn="1" w:lastColumn="0" w:noHBand="0" w:noVBand="1"/>
      </w:tblPr>
      <w:tblGrid>
        <w:gridCol w:w="4090"/>
      </w:tblGrid>
      <w:tr w:rsidR="007B7275">
        <w:trPr>
          <w:trHeight w:val="1985"/>
        </w:trPr>
        <w:tc>
          <w:tcPr>
            <w:tcW w:w="4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275" w:rsidRDefault="008305BB">
            <w:pPr>
              <w:spacing w:after="46" w:line="216" w:lineRule="auto"/>
              <w:ind w:left="327" w:right="139" w:hanging="221"/>
            </w:pPr>
            <w:r>
              <w:rPr>
                <w:sz w:val="16"/>
              </w:rPr>
              <w:t>Департамент ветеринарного и продовольственного надзора Министерства сельс.КЂГ0 хозяйства и п;одовольстаия Республики Беларусь</w:t>
            </w:r>
          </w:p>
          <w:p w:rsidR="007B7275" w:rsidRDefault="008305B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>Со зет по ветеринарным препаратам</w:t>
            </w:r>
          </w:p>
          <w:p w:rsidR="007B7275" w:rsidRDefault="008305B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429256" cy="733254"/>
                      <wp:effectExtent l="0" t="0" r="0" b="0"/>
                      <wp:docPr id="8061" name="Group 80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9256" cy="733254"/>
                                <a:chOff x="0" y="0"/>
                                <a:chExt cx="2429256" cy="7332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13" name="Picture 871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2776" y="13720"/>
                                  <a:ext cx="2313432" cy="7195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78" name="Rectangle 3078"/>
                              <wps:cNvSpPr/>
                              <wps:spPr>
                                <a:xfrm>
                                  <a:off x="1237488" y="0"/>
                                  <a:ext cx="356738" cy="2007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7275" w:rsidRDefault="008305B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w w:val="6"/>
                                        <w:sz w:val="22"/>
                                      </w:rPr>
                                      <w:t>Р</w:t>
                                    </w:r>
                                    <w:r>
                                      <w:rPr>
                                        <w:spacing w:val="17"/>
                                        <w:w w:val="6"/>
                                        <w:sz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6"/>
                                        <w:sz w:val="22"/>
                                      </w:rPr>
                                      <w:t>ЕН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9" name="Rectangle 3079"/>
                              <wps:cNvSpPr/>
                              <wps:spPr>
                                <a:xfrm>
                                  <a:off x="0" y="208848"/>
                                  <a:ext cx="891845" cy="129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7275" w:rsidRDefault="008305B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w w:val="8"/>
                                        <w:sz w:val="18"/>
                                      </w:rPr>
                                      <w:t>ПреДсеДатель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0" name="Rectangle 3080"/>
                              <wps:cNvSpPr/>
                              <wps:spPr>
                                <a:xfrm>
                                  <a:off x="3048" y="336900"/>
                                  <a:ext cx="664830" cy="1257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7275" w:rsidRDefault="008305B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w w:val="9"/>
                                        <w:sz w:val="18"/>
                                      </w:rPr>
                                      <w:t>Секретарь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1" name="Rectangle 3081"/>
                              <wps:cNvSpPr/>
                              <wps:spPr>
                                <a:xfrm>
                                  <a:off x="0" y="464952"/>
                                  <a:ext cx="522946" cy="1257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7275" w:rsidRDefault="008305B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w w:val="9"/>
                                        <w:sz w:val="18"/>
                                      </w:rPr>
                                      <w:t>Эксперт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061" style="width:191.28pt;height:57.7365pt;mso-position-horizontal-relative:char;mso-position-vertical-relative:line" coordsize="24292,7332">
                      <v:shape id="Picture 8713" style="position:absolute;width:23134;height:7195;left:1127;top:137;" filled="f">
                        <v:imagedata r:id="rId12"/>
                      </v:shape>
                      <v:rect id="Rectangle 3078" style="position:absolute;width:3567;height:2007;left:12374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6"/>
                                  <w:sz w:val="22"/>
                                </w:rPr>
                                <w:t xml:space="preserve">Р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17"/>
                                  <w:w w:val="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w w:val="6"/>
                                  <w:sz w:val="22"/>
                                </w:rPr>
                                <w:t xml:space="preserve">ЕН</w:t>
                              </w:r>
                            </w:p>
                          </w:txbxContent>
                        </v:textbox>
                      </v:rect>
                      <v:rect id="Rectangle 3079" style="position:absolute;width:8918;height:1297;left:0;top:208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8"/>
                                  <w:sz w:val="18"/>
                                </w:rPr>
                                <w:t xml:space="preserve">ПреДсеДатель</w:t>
                              </w:r>
                            </w:p>
                          </w:txbxContent>
                        </v:textbox>
                      </v:rect>
                      <v:rect id="Rectangle 3080" style="position:absolute;width:6648;height:1257;left:30;top:336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9"/>
                                  <w:sz w:val="18"/>
                                </w:rPr>
                                <w:t xml:space="preserve">Секретарь</w:t>
                              </w:r>
                            </w:p>
                          </w:txbxContent>
                        </v:textbox>
                      </v:rect>
                      <v:rect id="Rectangle 3081" style="position:absolute;width:5229;height:1257;left:0;top:464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9"/>
                                  <w:sz w:val="18"/>
                                </w:rPr>
                                <w:t xml:space="preserve">Эксперт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000000" w:rsidRDefault="008305BB"/>
    <w:sectPr w:rsidR="00000000">
      <w:pgSz w:w="11904" w:h="16834"/>
      <w:pgMar w:top="1124" w:right="677" w:bottom="1201" w:left="15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65857"/>
    <w:multiLevelType w:val="multilevel"/>
    <w:tmpl w:val="B942C23E"/>
    <w:lvl w:ilvl="0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75"/>
    <w:rsid w:val="007B7275"/>
    <w:rsid w:val="0083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F902D7D-AF54-42D9-BB46-AB670DFD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6" w:line="250" w:lineRule="auto"/>
      <w:ind w:left="1459" w:firstLine="7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2218" w:right="154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4424</Characters>
  <Application>Microsoft Office Word</Application>
  <DocSecurity>4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2023-11-17T17:53:00Z</dcterms:created>
  <dcterms:modified xsi:type="dcterms:W3CDTF">2023-11-17T17:53:00Z</dcterms:modified>
</cp:coreProperties>
</file>